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7AF" w:rsidRDefault="008B77AF" w:rsidP="008B77AF">
      <w:pPr>
        <w:spacing w:after="0"/>
        <w:rPr>
          <w:sz w:val="24"/>
          <w:szCs w:val="24"/>
        </w:rPr>
      </w:pPr>
      <w:r w:rsidRPr="008B77AF">
        <w:rPr>
          <w:sz w:val="24"/>
          <w:szCs w:val="24"/>
        </w:rPr>
        <w:drawing>
          <wp:inline distT="0" distB="0" distL="0" distR="0">
            <wp:extent cx="1146810" cy="944880"/>
            <wp:effectExtent l="19050" t="0" r="0" b="0"/>
            <wp:docPr id="1" name="Picture 1" descr="LOGO"/>
            <wp:cNvGraphicFramePr/>
            <a:graphic xmlns:a="http://schemas.openxmlformats.org/drawingml/2006/main">
              <a:graphicData uri="http://schemas.openxmlformats.org/drawingml/2006/picture">
                <pic:pic xmlns:pic="http://schemas.openxmlformats.org/drawingml/2006/picture">
                  <pic:nvPicPr>
                    <pic:cNvPr id="2058" name="46 Imagen" descr="LOGO"/>
                    <pic:cNvPicPr>
                      <a:picLocks noChangeAspect="1" noChangeArrowheads="1"/>
                    </pic:cNvPicPr>
                  </pic:nvPicPr>
                  <pic:blipFill>
                    <a:blip r:embed="rId5" cstate="print"/>
                    <a:srcRect/>
                    <a:stretch>
                      <a:fillRect/>
                    </a:stretch>
                  </pic:blipFill>
                  <pic:spPr bwMode="auto">
                    <a:xfrm>
                      <a:off x="0" y="0"/>
                      <a:ext cx="1148580" cy="946338"/>
                    </a:xfrm>
                    <a:prstGeom prst="rect">
                      <a:avLst/>
                    </a:prstGeom>
                    <a:noFill/>
                    <a:ln w="9525">
                      <a:noFill/>
                      <a:miter lim="800000"/>
                      <a:headEnd/>
                      <a:tailEnd/>
                    </a:ln>
                  </pic:spPr>
                </pic:pic>
              </a:graphicData>
            </a:graphic>
          </wp:inline>
        </w:drawing>
      </w:r>
      <w:r>
        <w:rPr>
          <w:sz w:val="24"/>
          <w:szCs w:val="24"/>
        </w:rPr>
        <w:tab/>
      </w:r>
      <w:r w:rsidRPr="008B77AF">
        <w:rPr>
          <w:sz w:val="24"/>
          <w:szCs w:val="24"/>
        </w:rPr>
        <w:drawing>
          <wp:inline distT="0" distB="0" distL="0" distR="0">
            <wp:extent cx="1074420" cy="1133599"/>
            <wp:effectExtent l="0" t="0" r="0" b="0"/>
            <wp:docPr id="2" name="Picture 2" descr="http://www.fontagro.org/sites/all/themes/fontagro/images/logo.png"/>
            <wp:cNvGraphicFramePr/>
            <a:graphic xmlns:a="http://schemas.openxmlformats.org/drawingml/2006/main">
              <a:graphicData uri="http://schemas.openxmlformats.org/drawingml/2006/picture">
                <pic:pic xmlns:pic="http://schemas.openxmlformats.org/drawingml/2006/picture">
                  <pic:nvPicPr>
                    <pic:cNvPr id="2062" name="Picture 33" descr="http://www.fontagro.org/sites/all/themes/fontagro/images/logo.png"/>
                    <pic:cNvPicPr>
                      <a:picLocks noChangeAspect="1" noChangeArrowheads="1"/>
                    </pic:cNvPicPr>
                  </pic:nvPicPr>
                  <pic:blipFill>
                    <a:blip r:embed="rId6" cstate="print"/>
                    <a:srcRect/>
                    <a:stretch>
                      <a:fillRect/>
                    </a:stretch>
                  </pic:blipFill>
                  <pic:spPr bwMode="auto">
                    <a:xfrm>
                      <a:off x="0" y="0"/>
                      <a:ext cx="1073242" cy="1132356"/>
                    </a:xfrm>
                    <a:prstGeom prst="rect">
                      <a:avLst/>
                    </a:prstGeom>
                    <a:noFill/>
                    <a:ln w="9525">
                      <a:noFill/>
                      <a:miter lim="800000"/>
                      <a:headEnd/>
                      <a:tailEnd/>
                    </a:ln>
                  </pic:spPr>
                </pic:pic>
              </a:graphicData>
            </a:graphic>
          </wp:inline>
        </w:drawing>
      </w:r>
      <w:r>
        <w:rPr>
          <w:sz w:val="24"/>
          <w:szCs w:val="24"/>
        </w:rPr>
        <w:t xml:space="preserve"> </w:t>
      </w:r>
      <w:r w:rsidRPr="008B77AF">
        <w:rPr>
          <w:sz w:val="24"/>
          <w:szCs w:val="24"/>
        </w:rPr>
        <w:drawing>
          <wp:inline distT="0" distB="0" distL="0" distR="0">
            <wp:extent cx="1309687" cy="1225550"/>
            <wp:effectExtent l="0" t="0" r="0" b="0"/>
            <wp:docPr id="4" name="Picture 4" descr="Bioversity logo_full colour_transparent background"/>
            <wp:cNvGraphicFramePr/>
            <a:graphic xmlns:a="http://schemas.openxmlformats.org/drawingml/2006/main">
              <a:graphicData uri="http://schemas.openxmlformats.org/drawingml/2006/picture">
                <pic:pic xmlns:pic="http://schemas.openxmlformats.org/drawingml/2006/picture">
                  <pic:nvPicPr>
                    <pic:cNvPr id="2065" name="Picture 7" descr="Bioversity logo_full colour_transparent background"/>
                    <pic:cNvPicPr>
                      <a:picLocks noChangeAspect="1" noChangeArrowheads="1"/>
                    </pic:cNvPicPr>
                  </pic:nvPicPr>
                  <pic:blipFill>
                    <a:blip r:embed="rId7" cstate="print"/>
                    <a:srcRect/>
                    <a:stretch>
                      <a:fillRect/>
                    </a:stretch>
                  </pic:blipFill>
                  <pic:spPr bwMode="auto">
                    <a:xfrm>
                      <a:off x="0" y="0"/>
                      <a:ext cx="1309687" cy="1225550"/>
                    </a:xfrm>
                    <a:prstGeom prst="rect">
                      <a:avLst/>
                    </a:prstGeom>
                    <a:noFill/>
                    <a:ln w="9525">
                      <a:noFill/>
                      <a:miter lim="800000"/>
                      <a:headEnd/>
                      <a:tailEnd/>
                    </a:ln>
                  </pic:spPr>
                </pic:pic>
              </a:graphicData>
            </a:graphic>
          </wp:inline>
        </w:drawing>
      </w:r>
      <w:r w:rsidRPr="008B77AF">
        <w:rPr>
          <w:noProof/>
          <w:lang w:val="en-US"/>
        </w:rPr>
        <w:t xml:space="preserve"> </w:t>
      </w:r>
      <w:r w:rsidRPr="008B77AF">
        <w:rPr>
          <w:sz w:val="24"/>
          <w:szCs w:val="24"/>
        </w:rPr>
        <w:drawing>
          <wp:inline distT="0" distB="0" distL="0" distR="0">
            <wp:extent cx="1413510" cy="731520"/>
            <wp:effectExtent l="19050" t="0" r="0" b="0"/>
            <wp:docPr id="5" name="Picture 5" descr="Résultat de recherche d'images pour &quot;inia espana&quot;"/>
            <wp:cNvGraphicFramePr/>
            <a:graphic xmlns:a="http://schemas.openxmlformats.org/drawingml/2006/main">
              <a:graphicData uri="http://schemas.openxmlformats.org/drawingml/2006/picture">
                <pic:pic xmlns:pic="http://schemas.openxmlformats.org/drawingml/2006/picture">
                  <pic:nvPicPr>
                    <pic:cNvPr id="2115" name="Picture 67" descr="Résultat de recherche d'images pour &quot;inia espana&quot;"/>
                    <pic:cNvPicPr>
                      <a:picLocks noChangeAspect="1" noChangeArrowheads="1"/>
                    </pic:cNvPicPr>
                  </pic:nvPicPr>
                  <pic:blipFill>
                    <a:blip r:embed="rId8" cstate="print"/>
                    <a:srcRect/>
                    <a:stretch>
                      <a:fillRect/>
                    </a:stretch>
                  </pic:blipFill>
                  <pic:spPr bwMode="auto">
                    <a:xfrm>
                      <a:off x="0" y="0"/>
                      <a:ext cx="1413157" cy="731337"/>
                    </a:xfrm>
                    <a:prstGeom prst="rect">
                      <a:avLst/>
                    </a:prstGeom>
                    <a:noFill/>
                  </pic:spPr>
                </pic:pic>
              </a:graphicData>
            </a:graphic>
          </wp:inline>
        </w:drawing>
      </w:r>
      <w:r>
        <w:rPr>
          <w:sz w:val="24"/>
          <w:szCs w:val="24"/>
        </w:rPr>
        <w:tab/>
      </w:r>
    </w:p>
    <w:p w:rsidR="008B77AF" w:rsidRDefault="008B77AF" w:rsidP="008B77AF">
      <w:pPr>
        <w:spacing w:after="0"/>
        <w:rPr>
          <w:sz w:val="24"/>
          <w:szCs w:val="24"/>
        </w:rPr>
      </w:pPr>
    </w:p>
    <w:p w:rsidR="008B77AF" w:rsidRDefault="008B77AF" w:rsidP="008B6111">
      <w:pPr>
        <w:spacing w:after="0"/>
        <w:jc w:val="center"/>
        <w:rPr>
          <w:sz w:val="24"/>
          <w:szCs w:val="24"/>
        </w:rPr>
      </w:pPr>
    </w:p>
    <w:p w:rsidR="008B6111" w:rsidRDefault="00A66E0D" w:rsidP="008B6111">
      <w:pPr>
        <w:spacing w:after="0"/>
        <w:jc w:val="center"/>
        <w:rPr>
          <w:sz w:val="24"/>
          <w:szCs w:val="24"/>
        </w:rPr>
      </w:pPr>
      <w:r w:rsidRPr="008B6111">
        <w:rPr>
          <w:sz w:val="24"/>
          <w:szCs w:val="24"/>
        </w:rPr>
        <w:t>CURSO:</w:t>
      </w:r>
    </w:p>
    <w:p w:rsidR="008B6111" w:rsidRDefault="00A66E0D" w:rsidP="008B6111">
      <w:pPr>
        <w:spacing w:after="0"/>
        <w:jc w:val="center"/>
        <w:rPr>
          <w:sz w:val="24"/>
          <w:szCs w:val="24"/>
        </w:rPr>
      </w:pPr>
      <w:r w:rsidRPr="008B6111">
        <w:rPr>
          <w:sz w:val="24"/>
          <w:szCs w:val="24"/>
        </w:rPr>
        <w:t xml:space="preserve">LOS NEMATODOS COMO INDICADORES </w:t>
      </w:r>
      <w:r w:rsidR="00E20B50" w:rsidRPr="008B6111">
        <w:rPr>
          <w:sz w:val="24"/>
          <w:szCs w:val="24"/>
        </w:rPr>
        <w:t>DE LA SOSTENIBILIDAD</w:t>
      </w:r>
    </w:p>
    <w:p w:rsidR="00A66E0D" w:rsidRPr="008B6111" w:rsidRDefault="00E20B50" w:rsidP="008B6111">
      <w:pPr>
        <w:spacing w:after="0"/>
        <w:jc w:val="center"/>
        <w:rPr>
          <w:sz w:val="24"/>
          <w:szCs w:val="24"/>
        </w:rPr>
      </w:pPr>
      <w:r w:rsidRPr="008B6111">
        <w:rPr>
          <w:sz w:val="24"/>
          <w:szCs w:val="24"/>
        </w:rPr>
        <w:t>DE LOS AGROECOSISTEMAS</w:t>
      </w:r>
      <w:r w:rsidR="00A66E0D" w:rsidRPr="008B6111">
        <w:rPr>
          <w:sz w:val="24"/>
          <w:szCs w:val="24"/>
        </w:rPr>
        <w:t>: APLICACIONES EN BANANO ORGÁNICO</w:t>
      </w:r>
    </w:p>
    <w:p w:rsidR="008B6111" w:rsidRPr="008B77AF" w:rsidRDefault="008B6111" w:rsidP="008B77AF">
      <w:pPr>
        <w:jc w:val="center"/>
      </w:pPr>
    </w:p>
    <w:p w:rsidR="008B6111" w:rsidRPr="008B77AF" w:rsidRDefault="008B6111" w:rsidP="008B77AF">
      <w:pPr>
        <w:jc w:val="center"/>
      </w:pPr>
      <w:r w:rsidRPr="008B77AF">
        <w:t>Fechas: 27-30 marzo de 2017</w:t>
      </w:r>
    </w:p>
    <w:p w:rsidR="008B6111" w:rsidRPr="008B77AF" w:rsidRDefault="008B6111" w:rsidP="008B77AF">
      <w:pPr>
        <w:jc w:val="center"/>
      </w:pPr>
      <w:r w:rsidRPr="008B77AF">
        <w:t xml:space="preserve">Lugar: </w:t>
      </w:r>
      <w:r w:rsidRPr="008B77AF">
        <w:rPr>
          <w:rStyle w:val="Emphasis"/>
          <w:rFonts w:cs="Arial"/>
          <w:color w:val="333333"/>
        </w:rPr>
        <w:t>CID Estación Experimental Mata Larga</w:t>
      </w:r>
      <w:r w:rsidR="008B77AF" w:rsidRPr="008B77AF">
        <w:rPr>
          <w:rStyle w:val="Emphasis"/>
          <w:rFonts w:cs="Arial"/>
          <w:color w:val="333333"/>
        </w:rPr>
        <w:t>, IDIAF</w:t>
      </w:r>
      <w:r w:rsidRPr="008B77AF">
        <w:rPr>
          <w:rFonts w:cs="Arial"/>
          <w:color w:val="333333"/>
        </w:rPr>
        <w:br/>
        <w:t>Sección El Limón, San Francisco de Macorís</w:t>
      </w:r>
      <w:r w:rsidR="008B77AF" w:rsidRPr="008B77AF">
        <w:rPr>
          <w:rFonts w:cs="Arial"/>
          <w:color w:val="333333"/>
        </w:rPr>
        <w:t xml:space="preserve">, </w:t>
      </w:r>
      <w:r w:rsidR="008B77AF">
        <w:rPr>
          <w:rFonts w:cs="Arial"/>
          <w:color w:val="333333"/>
        </w:rPr>
        <w:t>Repub</w:t>
      </w:r>
      <w:r w:rsidR="008B77AF" w:rsidRPr="008B77AF">
        <w:rPr>
          <w:rFonts w:cs="Arial"/>
          <w:color w:val="333333"/>
        </w:rPr>
        <w:t>l</w:t>
      </w:r>
      <w:r w:rsidR="008B77AF">
        <w:rPr>
          <w:rFonts w:cs="Arial"/>
          <w:color w:val="333333"/>
        </w:rPr>
        <w:t>i</w:t>
      </w:r>
      <w:r w:rsidR="008B77AF" w:rsidRPr="008B77AF">
        <w:rPr>
          <w:rFonts w:cs="Arial"/>
          <w:color w:val="333333"/>
        </w:rPr>
        <w:t>ca Dominicana</w:t>
      </w:r>
    </w:p>
    <w:p w:rsidR="007258EB" w:rsidRDefault="00667447">
      <w:r>
        <w:t>E</w:t>
      </w:r>
      <w:r w:rsidR="007258EB">
        <w:t xml:space="preserve">l objetivo general del curso la capacitación del personal técnico y científico que trabaja en banano orgánico en el uso de los nematodos como indicadores ambientales de la sostenibilidad de las explotaciones bananeras con manejo orgánico. Al finalizar el curso, los asistentes serán capaces de llevar a cabo un diagnóstico </w:t>
      </w:r>
      <w:r w:rsidR="002F6176">
        <w:t xml:space="preserve">integral </w:t>
      </w:r>
      <w:r w:rsidR="007258EB">
        <w:t xml:space="preserve">del estado ecológico del suelo, y de relacionar los indicadores utilizados con otros indicadores de la salud del </w:t>
      </w:r>
      <w:proofErr w:type="spellStart"/>
      <w:r w:rsidR="007258EB">
        <w:t>agroecosistema</w:t>
      </w:r>
      <w:proofErr w:type="spellEnd"/>
      <w:r w:rsidR="007258EB">
        <w:t xml:space="preserve">. </w:t>
      </w:r>
    </w:p>
    <w:p w:rsidR="002F6176" w:rsidRDefault="002F6176">
      <w:bookmarkStart w:id="0" w:name="_GoBack"/>
      <w:bookmarkEnd w:id="0"/>
    </w:p>
    <w:p w:rsidR="00A66E0D" w:rsidRDefault="00A66E0D">
      <w:pPr>
        <w:rPr>
          <w:u w:val="single"/>
        </w:rPr>
      </w:pPr>
      <w:r w:rsidRPr="00A66E0D">
        <w:rPr>
          <w:u w:val="single"/>
        </w:rPr>
        <w:t>DÍA 1</w:t>
      </w:r>
      <w:r w:rsidR="008B6111">
        <w:rPr>
          <w:u w:val="single"/>
        </w:rPr>
        <w:t xml:space="preserve"> – Lunes 27 marzo 2017</w:t>
      </w:r>
    </w:p>
    <w:p w:rsidR="00A66E0D" w:rsidRDefault="00A66E0D" w:rsidP="00A66E0D">
      <w:pPr>
        <w:pStyle w:val="ListParagraph"/>
        <w:numPr>
          <w:ilvl w:val="1"/>
          <w:numId w:val="1"/>
        </w:numPr>
      </w:pPr>
      <w:r>
        <w:t>Sesión teórica.</w:t>
      </w:r>
    </w:p>
    <w:p w:rsidR="006C5B02" w:rsidRDefault="00A66E0D" w:rsidP="00171CEC">
      <w:pPr>
        <w:pStyle w:val="ListParagraph"/>
        <w:numPr>
          <w:ilvl w:val="0"/>
          <w:numId w:val="8"/>
        </w:numPr>
        <w:tabs>
          <w:tab w:val="left" w:pos="630"/>
          <w:tab w:val="left" w:pos="900"/>
        </w:tabs>
        <w:spacing w:after="0"/>
      </w:pPr>
      <w:r w:rsidRPr="00A66E0D">
        <w:t xml:space="preserve">Los </w:t>
      </w:r>
      <w:r>
        <w:t>nematodos del suelo: características biológicas y ecológicas.</w:t>
      </w:r>
    </w:p>
    <w:p w:rsidR="006C5B02" w:rsidRDefault="00030F0E" w:rsidP="00171CEC">
      <w:pPr>
        <w:pStyle w:val="ListParagraph"/>
        <w:numPr>
          <w:ilvl w:val="0"/>
          <w:numId w:val="8"/>
        </w:numPr>
        <w:tabs>
          <w:tab w:val="left" w:pos="630"/>
          <w:tab w:val="left" w:pos="900"/>
        </w:tabs>
        <w:spacing w:after="0"/>
      </w:pPr>
      <w:r>
        <w:t>Muestreo de suelos para el estudio de los nematodos</w:t>
      </w:r>
      <w:r w:rsidR="000A50B8">
        <w:t xml:space="preserve"> edáficos</w:t>
      </w:r>
      <w:r>
        <w:t>. Técnicas de extracción</w:t>
      </w:r>
      <w:r w:rsidR="000A50B8">
        <w:t xml:space="preserve"> y fijación. </w:t>
      </w:r>
    </w:p>
    <w:p w:rsidR="006C5B02" w:rsidRDefault="00A66E0D" w:rsidP="00171CEC">
      <w:pPr>
        <w:pStyle w:val="ListParagraph"/>
        <w:numPr>
          <w:ilvl w:val="0"/>
          <w:numId w:val="8"/>
        </w:numPr>
        <w:tabs>
          <w:tab w:val="left" w:pos="630"/>
          <w:tab w:val="left" w:pos="900"/>
        </w:tabs>
        <w:spacing w:after="0"/>
      </w:pPr>
      <w:r>
        <w:t>Clasificaciones funcionales: grupos tróficos y la escala colonizador-persistente.</w:t>
      </w:r>
    </w:p>
    <w:p w:rsidR="00A66E0D" w:rsidRDefault="00A66E0D" w:rsidP="00171CEC">
      <w:pPr>
        <w:pStyle w:val="ListParagraph"/>
        <w:numPr>
          <w:ilvl w:val="0"/>
          <w:numId w:val="8"/>
        </w:numPr>
        <w:tabs>
          <w:tab w:val="left" w:pos="630"/>
          <w:tab w:val="left" w:pos="900"/>
        </w:tabs>
        <w:spacing w:after="0"/>
      </w:pPr>
      <w:r>
        <w:t>Índices de diversidad e índices de madurez.</w:t>
      </w:r>
    </w:p>
    <w:p w:rsidR="00A66E0D" w:rsidRDefault="00A66E0D" w:rsidP="00171CEC">
      <w:pPr>
        <w:pStyle w:val="ListParagraph"/>
        <w:numPr>
          <w:ilvl w:val="0"/>
          <w:numId w:val="8"/>
        </w:numPr>
        <w:tabs>
          <w:tab w:val="left" w:pos="630"/>
          <w:tab w:val="left" w:pos="900"/>
        </w:tabs>
        <w:spacing w:after="0"/>
      </w:pPr>
      <w:r>
        <w:t xml:space="preserve">Herramientas on-line: </w:t>
      </w:r>
      <w:proofErr w:type="spellStart"/>
      <w:r>
        <w:t>Nemaplex</w:t>
      </w:r>
      <w:proofErr w:type="spellEnd"/>
      <w:r>
        <w:t xml:space="preserve"> y NINJA.</w:t>
      </w:r>
    </w:p>
    <w:p w:rsidR="006C5B02" w:rsidRDefault="006C5B02" w:rsidP="00171CEC">
      <w:pPr>
        <w:pStyle w:val="ListParagraph"/>
      </w:pPr>
    </w:p>
    <w:p w:rsidR="00A66E0D" w:rsidRDefault="00A66E0D" w:rsidP="00A66E0D">
      <w:pPr>
        <w:pStyle w:val="ListParagraph"/>
        <w:numPr>
          <w:ilvl w:val="1"/>
          <w:numId w:val="1"/>
        </w:numPr>
      </w:pPr>
      <w:r>
        <w:t>Sesión práctica.</w:t>
      </w:r>
    </w:p>
    <w:p w:rsidR="00A66E0D" w:rsidRDefault="00A66E0D" w:rsidP="00171CEC">
      <w:pPr>
        <w:pStyle w:val="ListParagraph"/>
        <w:numPr>
          <w:ilvl w:val="0"/>
          <w:numId w:val="9"/>
        </w:numPr>
      </w:pPr>
      <w:r>
        <w:t>Extracción, recuento e identificación de nematodos.</w:t>
      </w:r>
    </w:p>
    <w:p w:rsidR="00A66E0D" w:rsidRDefault="00A66E0D" w:rsidP="00171CEC">
      <w:pPr>
        <w:pStyle w:val="ListParagraph"/>
        <w:numPr>
          <w:ilvl w:val="0"/>
          <w:numId w:val="9"/>
        </w:numPr>
      </w:pPr>
      <w:r>
        <w:t>Análisis de datos.</w:t>
      </w:r>
    </w:p>
    <w:p w:rsidR="00A66E0D" w:rsidRDefault="00A66E0D" w:rsidP="00A66E0D">
      <w:pPr>
        <w:pStyle w:val="ListParagraph"/>
      </w:pPr>
    </w:p>
    <w:p w:rsidR="00A66E0D" w:rsidRPr="00A66E0D" w:rsidRDefault="00A66E0D" w:rsidP="00A66E0D">
      <w:pPr>
        <w:rPr>
          <w:u w:val="single"/>
        </w:rPr>
      </w:pPr>
      <w:r w:rsidRPr="00A66E0D">
        <w:rPr>
          <w:u w:val="single"/>
        </w:rPr>
        <w:t>DÍA 2</w:t>
      </w:r>
      <w:r w:rsidR="00667447">
        <w:rPr>
          <w:u w:val="single"/>
        </w:rPr>
        <w:t xml:space="preserve"> – Martes 28 marzo 2017</w:t>
      </w:r>
    </w:p>
    <w:p w:rsidR="00A66E0D" w:rsidRDefault="00A66E0D" w:rsidP="00A66E0D">
      <w:pPr>
        <w:pStyle w:val="ListParagraph"/>
        <w:ind w:hanging="360"/>
      </w:pPr>
      <w:r>
        <w:t>2.1. Sesión teórica.</w:t>
      </w:r>
    </w:p>
    <w:p w:rsidR="00A66E0D" w:rsidRDefault="00A66E0D" w:rsidP="00171CEC">
      <w:pPr>
        <w:pStyle w:val="ListParagraph"/>
        <w:numPr>
          <w:ilvl w:val="0"/>
          <w:numId w:val="10"/>
        </w:numPr>
      </w:pPr>
      <w:r>
        <w:t>La red trófica edáfica: características y funciones.</w:t>
      </w:r>
    </w:p>
    <w:p w:rsidR="00A66E0D" w:rsidRDefault="00A66E0D" w:rsidP="00171CEC">
      <w:pPr>
        <w:pStyle w:val="ListParagraph"/>
        <w:numPr>
          <w:ilvl w:val="0"/>
          <w:numId w:val="10"/>
        </w:numPr>
      </w:pPr>
      <w:r>
        <w:t>Los índices de la red trófica edáfica.</w:t>
      </w:r>
    </w:p>
    <w:p w:rsidR="00C447A3" w:rsidRDefault="00A66E0D" w:rsidP="00171CEC">
      <w:pPr>
        <w:pStyle w:val="ListParagraph"/>
        <w:numPr>
          <w:ilvl w:val="0"/>
          <w:numId w:val="10"/>
        </w:numPr>
      </w:pPr>
      <w:r>
        <w:t>Diagnóstico y evaluación de la condición de la red trófica del suelo</w:t>
      </w:r>
      <w:r w:rsidR="00C447A3">
        <w:t>: fertilidad, supresividad, descomposición de la materia orgánica.</w:t>
      </w:r>
    </w:p>
    <w:p w:rsidR="006C5B02" w:rsidRDefault="006C5B02" w:rsidP="00C447A3">
      <w:pPr>
        <w:pStyle w:val="ListParagraph"/>
      </w:pPr>
    </w:p>
    <w:p w:rsidR="00A66E0D" w:rsidRDefault="00A66E0D" w:rsidP="00A66E0D">
      <w:pPr>
        <w:pStyle w:val="ListParagraph"/>
        <w:ind w:hanging="360"/>
      </w:pPr>
      <w:r>
        <w:lastRenderedPageBreak/>
        <w:t>2.2. Sesión práctica.</w:t>
      </w:r>
    </w:p>
    <w:p w:rsidR="00A66E0D" w:rsidRDefault="00341121" w:rsidP="00171CEC">
      <w:pPr>
        <w:pStyle w:val="ListParagraph"/>
        <w:numPr>
          <w:ilvl w:val="0"/>
          <w:numId w:val="11"/>
        </w:numPr>
      </w:pPr>
      <w:r>
        <w:t>I</w:t>
      </w:r>
      <w:r w:rsidR="00A66E0D">
        <w:t>dentificación de nematodos.</w:t>
      </w:r>
    </w:p>
    <w:p w:rsidR="00A66E0D" w:rsidRDefault="00A66E0D" w:rsidP="00171CEC">
      <w:pPr>
        <w:pStyle w:val="ListParagraph"/>
        <w:numPr>
          <w:ilvl w:val="0"/>
          <w:numId w:val="11"/>
        </w:numPr>
      </w:pPr>
      <w:r>
        <w:t>Análisis de datos.</w:t>
      </w:r>
    </w:p>
    <w:p w:rsidR="00782E99" w:rsidRDefault="00782E99" w:rsidP="00782E99">
      <w:pPr>
        <w:pStyle w:val="ListParagraph"/>
      </w:pPr>
    </w:p>
    <w:p w:rsidR="00341121" w:rsidRPr="00341121" w:rsidRDefault="00341121" w:rsidP="00341121">
      <w:pPr>
        <w:rPr>
          <w:u w:val="single"/>
        </w:rPr>
      </w:pPr>
      <w:r w:rsidRPr="00341121">
        <w:rPr>
          <w:u w:val="single"/>
        </w:rPr>
        <w:t>DÍA 3</w:t>
      </w:r>
      <w:r w:rsidR="00667447">
        <w:rPr>
          <w:u w:val="single"/>
        </w:rPr>
        <w:t xml:space="preserve"> – </w:t>
      </w:r>
      <w:proofErr w:type="spellStart"/>
      <w:r w:rsidR="00667447">
        <w:rPr>
          <w:u w:val="single"/>
        </w:rPr>
        <w:t>Miercoles</w:t>
      </w:r>
      <w:proofErr w:type="spellEnd"/>
      <w:r w:rsidR="00667447">
        <w:rPr>
          <w:u w:val="single"/>
        </w:rPr>
        <w:t xml:space="preserve"> 29 Marzo 2017</w:t>
      </w:r>
    </w:p>
    <w:p w:rsidR="00A66E0D" w:rsidRDefault="00341121" w:rsidP="00A66E0D">
      <w:pPr>
        <w:pStyle w:val="ListParagraph"/>
        <w:ind w:hanging="360"/>
      </w:pPr>
      <w:r>
        <w:t>3.1. Sesión teórica.</w:t>
      </w:r>
    </w:p>
    <w:p w:rsidR="00341121" w:rsidRDefault="00341121" w:rsidP="00171CEC">
      <w:pPr>
        <w:pStyle w:val="ListParagraph"/>
        <w:numPr>
          <w:ilvl w:val="0"/>
          <w:numId w:val="12"/>
        </w:numPr>
      </w:pPr>
      <w:r>
        <w:t>Las Huellas Metabólicas de la comunidad de nematodos.</w:t>
      </w:r>
    </w:p>
    <w:p w:rsidR="00341121" w:rsidRDefault="00341121" w:rsidP="00171CEC">
      <w:pPr>
        <w:pStyle w:val="ListParagraph"/>
        <w:numPr>
          <w:ilvl w:val="0"/>
          <w:numId w:val="12"/>
        </w:numPr>
      </w:pPr>
      <w:r>
        <w:t>Evaluación de servicios ecosistémicos: Diagramas radiales.</w:t>
      </w:r>
    </w:p>
    <w:p w:rsidR="006C5B02" w:rsidRDefault="006C5B02" w:rsidP="00A66E0D">
      <w:pPr>
        <w:pStyle w:val="ListParagraph"/>
        <w:ind w:hanging="360"/>
      </w:pPr>
    </w:p>
    <w:p w:rsidR="00341121" w:rsidRDefault="00341121" w:rsidP="00A66E0D">
      <w:pPr>
        <w:pStyle w:val="ListParagraph"/>
        <w:ind w:hanging="360"/>
      </w:pPr>
      <w:r>
        <w:t>3.2. Sesión práctica.</w:t>
      </w:r>
    </w:p>
    <w:p w:rsidR="00341121" w:rsidRDefault="00341121" w:rsidP="00171CEC">
      <w:pPr>
        <w:pStyle w:val="ListParagraph"/>
        <w:numPr>
          <w:ilvl w:val="0"/>
          <w:numId w:val="13"/>
        </w:numPr>
      </w:pPr>
      <w:r>
        <w:t>Identificación de nematodos.</w:t>
      </w:r>
    </w:p>
    <w:p w:rsidR="00341121" w:rsidRDefault="00341121" w:rsidP="00171CEC">
      <w:pPr>
        <w:pStyle w:val="ListParagraph"/>
        <w:numPr>
          <w:ilvl w:val="0"/>
          <w:numId w:val="13"/>
        </w:numPr>
      </w:pPr>
      <w:r>
        <w:t>Análisis de datos.</w:t>
      </w:r>
    </w:p>
    <w:p w:rsidR="006C5B02" w:rsidRDefault="006C5B02" w:rsidP="006C5B02">
      <w:pPr>
        <w:ind w:left="360"/>
      </w:pPr>
      <w:r>
        <w:t>3.3. Puesta en común y evaluación del curso.</w:t>
      </w:r>
    </w:p>
    <w:p w:rsidR="00667447" w:rsidRDefault="00667447" w:rsidP="00667447">
      <w:pPr>
        <w:rPr>
          <w:u w:val="single"/>
        </w:rPr>
      </w:pPr>
      <w:r>
        <w:rPr>
          <w:u w:val="single"/>
        </w:rPr>
        <w:t>DÍA 4 – Jueves 30 Marzo 2017</w:t>
      </w:r>
      <w:r w:rsidR="009B4753" w:rsidRPr="009B4753">
        <w:t xml:space="preserve"> (curso de nematodos integrado con taller proyecto)</w:t>
      </w:r>
    </w:p>
    <w:p w:rsidR="009B4753" w:rsidRDefault="00667447" w:rsidP="009B4753">
      <w:pPr>
        <w:ind w:left="360"/>
      </w:pPr>
      <w:r w:rsidRPr="00667447">
        <w:t>4.1</w:t>
      </w:r>
      <w:r w:rsidR="009B4753">
        <w:t xml:space="preserve"> Introducción al proyecto, participantes y programa del taller</w:t>
      </w:r>
      <w:r>
        <w:t xml:space="preserve"> </w:t>
      </w:r>
    </w:p>
    <w:p w:rsidR="00667447" w:rsidRDefault="009B4753" w:rsidP="009B4753">
      <w:pPr>
        <w:ind w:left="360"/>
      </w:pPr>
      <w:r>
        <w:t xml:space="preserve">4.2 </w:t>
      </w:r>
      <w:r w:rsidR="00667447">
        <w:t>Indicadores de salud de suelos – físicos, químicos, biológicos, productivos</w:t>
      </w:r>
    </w:p>
    <w:p w:rsidR="003A06D3" w:rsidRPr="003A06D3" w:rsidRDefault="003A06D3" w:rsidP="009B4753">
      <w:pPr>
        <w:pStyle w:val="ListParagraph"/>
        <w:numPr>
          <w:ilvl w:val="0"/>
          <w:numId w:val="16"/>
        </w:numPr>
      </w:pPr>
      <w:r w:rsidRPr="003A06D3">
        <w:t>Presentación</w:t>
      </w:r>
      <w:r>
        <w:t xml:space="preserve"> de enfoque y esquema de muestreo</w:t>
      </w:r>
    </w:p>
    <w:p w:rsidR="003A06D3" w:rsidRDefault="003A06D3" w:rsidP="009B4753">
      <w:pPr>
        <w:pStyle w:val="ListParagraph"/>
        <w:numPr>
          <w:ilvl w:val="0"/>
          <w:numId w:val="16"/>
        </w:numPr>
      </w:pPr>
      <w:r>
        <w:t>Bases de datos de diagnostico</w:t>
      </w:r>
      <w:r w:rsidR="009B4753">
        <w:t xml:space="preserve"> – presentaciones de países</w:t>
      </w:r>
    </w:p>
    <w:p w:rsidR="003A06D3" w:rsidRDefault="003A06D3" w:rsidP="009B4753">
      <w:pPr>
        <w:pStyle w:val="ListParagraph"/>
        <w:numPr>
          <w:ilvl w:val="0"/>
          <w:numId w:val="16"/>
        </w:numPr>
      </w:pPr>
      <w:r>
        <w:t>Niveles y su interpretación</w:t>
      </w:r>
    </w:p>
    <w:p w:rsidR="00555C0A" w:rsidRDefault="00555C0A" w:rsidP="00555C0A">
      <w:pPr>
        <w:pStyle w:val="ListParagraph"/>
        <w:ind w:left="1080"/>
      </w:pPr>
    </w:p>
    <w:p w:rsidR="003A06D3" w:rsidRDefault="003A06D3" w:rsidP="009B4753">
      <w:pPr>
        <w:pStyle w:val="ListParagraph"/>
        <w:numPr>
          <w:ilvl w:val="1"/>
          <w:numId w:val="17"/>
        </w:numPr>
        <w:ind w:firstLine="0"/>
      </w:pPr>
      <w:r>
        <w:t>Análisis de datos de los indicadores de línea de base</w:t>
      </w:r>
    </w:p>
    <w:p w:rsidR="003A06D3" w:rsidRDefault="003A06D3" w:rsidP="009B4753">
      <w:pPr>
        <w:pStyle w:val="ListParagraph"/>
        <w:numPr>
          <w:ilvl w:val="0"/>
          <w:numId w:val="18"/>
        </w:numPr>
        <w:ind w:left="1080"/>
      </w:pPr>
      <w:r>
        <w:t>Posibles métodos de análisis</w:t>
      </w:r>
    </w:p>
    <w:p w:rsidR="003A06D3" w:rsidRDefault="003A06D3" w:rsidP="009B4753">
      <w:pPr>
        <w:pStyle w:val="ListParagraph"/>
        <w:numPr>
          <w:ilvl w:val="0"/>
          <w:numId w:val="18"/>
        </w:numPr>
        <w:ind w:left="1080"/>
      </w:pPr>
      <w:r>
        <w:t>Grupos de trabajo con los datos de cada país</w:t>
      </w:r>
    </w:p>
    <w:p w:rsidR="00555C0A" w:rsidRDefault="00555C0A" w:rsidP="00555C0A">
      <w:pPr>
        <w:pStyle w:val="ListParagraph"/>
        <w:ind w:left="1080"/>
      </w:pPr>
    </w:p>
    <w:p w:rsidR="00A66E0D" w:rsidRDefault="003A06D3" w:rsidP="009B4753">
      <w:pPr>
        <w:pStyle w:val="ListParagraph"/>
        <w:numPr>
          <w:ilvl w:val="1"/>
          <w:numId w:val="17"/>
        </w:numPr>
        <w:ind w:firstLine="0"/>
      </w:pPr>
      <w:r>
        <w:t>protocolo y cronograma para completar indicador de nematodos de vida libre y otros indicadores en el cierre del proyecto</w:t>
      </w:r>
    </w:p>
    <w:sectPr w:rsidR="00A66E0D" w:rsidSect="00A164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03D64"/>
    <w:multiLevelType w:val="hybridMultilevel"/>
    <w:tmpl w:val="EE528600"/>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09ED0B30"/>
    <w:multiLevelType w:val="hybridMultilevel"/>
    <w:tmpl w:val="E706514E"/>
    <w:lvl w:ilvl="0" w:tplc="0C0A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0B381A08"/>
    <w:multiLevelType w:val="hybridMultilevel"/>
    <w:tmpl w:val="C786FC32"/>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11064B62"/>
    <w:multiLevelType w:val="hybridMultilevel"/>
    <w:tmpl w:val="43F8F3CC"/>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8290706"/>
    <w:multiLevelType w:val="hybridMultilevel"/>
    <w:tmpl w:val="4D7CF07E"/>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25C06B85"/>
    <w:multiLevelType w:val="hybridMultilevel"/>
    <w:tmpl w:val="5CE2B0AE"/>
    <w:lvl w:ilvl="0" w:tplc="0C0A000D">
      <w:start w:val="1"/>
      <w:numFmt w:val="bullet"/>
      <w:lvlText w:val=""/>
      <w:lvlJc w:val="left"/>
      <w:pPr>
        <w:ind w:left="1440" w:hanging="360"/>
      </w:pPr>
      <w:rPr>
        <w:rFonts w:ascii="Wingdings" w:hAnsi="Wingding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3CB956DA"/>
    <w:multiLevelType w:val="hybridMultilevel"/>
    <w:tmpl w:val="5162AFB8"/>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nsid w:val="45A04235"/>
    <w:multiLevelType w:val="hybridMultilevel"/>
    <w:tmpl w:val="3F6CA1AE"/>
    <w:lvl w:ilvl="0" w:tplc="0C0A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7C6EBA"/>
    <w:multiLevelType w:val="hybridMultilevel"/>
    <w:tmpl w:val="4524064C"/>
    <w:lvl w:ilvl="0" w:tplc="0C0A000D">
      <w:start w:val="1"/>
      <w:numFmt w:val="bullet"/>
      <w:lvlText w:val=""/>
      <w:lvlJc w:val="left"/>
      <w:pPr>
        <w:ind w:left="1440" w:hanging="360"/>
      </w:pPr>
      <w:rPr>
        <w:rFonts w:ascii="Wingdings" w:hAnsi="Wingding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489B1BAF"/>
    <w:multiLevelType w:val="multilevel"/>
    <w:tmpl w:val="B8B443B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bullet"/>
      <w:lvlText w:val=""/>
      <w:lvlJc w:val="left"/>
      <w:pPr>
        <w:ind w:left="720" w:hanging="720"/>
      </w:pPr>
      <w:rPr>
        <w:rFonts w:ascii="Wingdings" w:hAnsi="Wingding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D3D6663"/>
    <w:multiLevelType w:val="hybridMultilevel"/>
    <w:tmpl w:val="8284A2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E9C4CB4"/>
    <w:multiLevelType w:val="hybridMultilevel"/>
    <w:tmpl w:val="C2466A8E"/>
    <w:lvl w:ilvl="0" w:tplc="0C0A0013">
      <w:start w:val="1"/>
      <w:numFmt w:val="upp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647E0861"/>
    <w:multiLevelType w:val="multilevel"/>
    <w:tmpl w:val="511CF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5EC4E0B"/>
    <w:multiLevelType w:val="multilevel"/>
    <w:tmpl w:val="7DAEF6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2074F50"/>
    <w:multiLevelType w:val="hybridMultilevel"/>
    <w:tmpl w:val="4D0C3BB2"/>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27F4B56"/>
    <w:multiLevelType w:val="hybridMultilevel"/>
    <w:tmpl w:val="BA4A4622"/>
    <w:lvl w:ilvl="0" w:tplc="0C0A000D">
      <w:start w:val="1"/>
      <w:numFmt w:val="bullet"/>
      <w:lvlText w:val=""/>
      <w:lvlJc w:val="left"/>
      <w:pPr>
        <w:ind w:left="1440" w:hanging="360"/>
      </w:pPr>
      <w:rPr>
        <w:rFonts w:ascii="Wingdings" w:hAnsi="Wingding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nsid w:val="738B720A"/>
    <w:multiLevelType w:val="hybridMultilevel"/>
    <w:tmpl w:val="5352EA6C"/>
    <w:lvl w:ilvl="0" w:tplc="0C0A000D">
      <w:start w:val="1"/>
      <w:numFmt w:val="bullet"/>
      <w:lvlText w:val=""/>
      <w:lvlJc w:val="left"/>
      <w:pPr>
        <w:ind w:left="1440" w:hanging="360"/>
      </w:pPr>
      <w:rPr>
        <w:rFonts w:ascii="Wingdings" w:hAnsi="Wingding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7">
    <w:nsid w:val="79905C8B"/>
    <w:multiLevelType w:val="hybridMultilevel"/>
    <w:tmpl w:val="0204BC6A"/>
    <w:lvl w:ilvl="0" w:tplc="0C0A000D">
      <w:start w:val="1"/>
      <w:numFmt w:val="bullet"/>
      <w:lvlText w:val=""/>
      <w:lvlJc w:val="left"/>
      <w:pPr>
        <w:ind w:left="1440" w:hanging="360"/>
      </w:pPr>
      <w:rPr>
        <w:rFonts w:ascii="Wingdings" w:hAnsi="Wingding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2"/>
  </w:num>
  <w:num w:numId="2">
    <w:abstractNumId w:val="14"/>
  </w:num>
  <w:num w:numId="3">
    <w:abstractNumId w:val="2"/>
  </w:num>
  <w:num w:numId="4">
    <w:abstractNumId w:val="6"/>
  </w:num>
  <w:num w:numId="5">
    <w:abstractNumId w:val="11"/>
  </w:num>
  <w:num w:numId="6">
    <w:abstractNumId w:val="0"/>
  </w:num>
  <w:num w:numId="7">
    <w:abstractNumId w:val="3"/>
  </w:num>
  <w:num w:numId="8">
    <w:abstractNumId w:val="4"/>
  </w:num>
  <w:num w:numId="9">
    <w:abstractNumId w:val="5"/>
  </w:num>
  <w:num w:numId="10">
    <w:abstractNumId w:val="8"/>
  </w:num>
  <w:num w:numId="11">
    <w:abstractNumId w:val="16"/>
  </w:num>
  <w:num w:numId="12">
    <w:abstractNumId w:val="17"/>
  </w:num>
  <w:num w:numId="13">
    <w:abstractNumId w:val="15"/>
  </w:num>
  <w:num w:numId="14">
    <w:abstractNumId w:val="10"/>
  </w:num>
  <w:num w:numId="15">
    <w:abstractNumId w:val="13"/>
  </w:num>
  <w:num w:numId="16">
    <w:abstractNumId w:val="7"/>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E0D"/>
    <w:rsid w:val="00030F0E"/>
    <w:rsid w:val="00036064"/>
    <w:rsid w:val="000A50B8"/>
    <w:rsid w:val="00171CEC"/>
    <w:rsid w:val="002F6176"/>
    <w:rsid w:val="00341121"/>
    <w:rsid w:val="003A06D3"/>
    <w:rsid w:val="00555C0A"/>
    <w:rsid w:val="006073BC"/>
    <w:rsid w:val="00667447"/>
    <w:rsid w:val="006C5B02"/>
    <w:rsid w:val="0072342C"/>
    <w:rsid w:val="007258EB"/>
    <w:rsid w:val="00782E99"/>
    <w:rsid w:val="008B6111"/>
    <w:rsid w:val="008B77AF"/>
    <w:rsid w:val="00944347"/>
    <w:rsid w:val="009B4753"/>
    <w:rsid w:val="00A16474"/>
    <w:rsid w:val="00A66E0D"/>
    <w:rsid w:val="00C447A3"/>
    <w:rsid w:val="00E20B50"/>
    <w:rsid w:val="00EE6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47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E0D"/>
    <w:pPr>
      <w:ind w:left="720"/>
      <w:contextualSpacing/>
    </w:pPr>
  </w:style>
  <w:style w:type="character" w:styleId="Emphasis">
    <w:name w:val="Emphasis"/>
    <w:basedOn w:val="DefaultParagraphFont"/>
    <w:uiPriority w:val="20"/>
    <w:qFormat/>
    <w:rsid w:val="008B6111"/>
    <w:rPr>
      <w:i/>
      <w:iCs/>
    </w:rPr>
  </w:style>
  <w:style w:type="paragraph" w:styleId="BalloonText">
    <w:name w:val="Balloon Text"/>
    <w:basedOn w:val="Normal"/>
    <w:link w:val="BalloonTextChar"/>
    <w:uiPriority w:val="99"/>
    <w:semiHidden/>
    <w:unhideWhenUsed/>
    <w:rsid w:val="008B7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7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2075</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2435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Sánchez Moreno</dc:creator>
  <cp:lastModifiedBy>cstaver</cp:lastModifiedBy>
  <cp:revision>2</cp:revision>
  <dcterms:created xsi:type="dcterms:W3CDTF">2017-02-21T17:09:00Z</dcterms:created>
  <dcterms:modified xsi:type="dcterms:W3CDTF">2017-02-21T17:09:00Z</dcterms:modified>
</cp:coreProperties>
</file>